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2628"/>
        <w:gridCol w:w="6948"/>
      </w:tblGrid>
      <w:tr w:rsidR="00D94C4A">
        <w:tc>
          <w:tcPr>
            <w:tcW w:w="2628" w:type="dxa"/>
          </w:tcPr>
          <w:p w:rsidR="00D94C4A" w:rsidRDefault="0032553D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Region: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D94C4A" w:rsidRDefault="00CF2FA6">
            <w:pPr>
              <w:pStyle w:val="Heading1"/>
              <w:spacing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Pinedale</w:t>
            </w:r>
          </w:p>
        </w:tc>
      </w:tr>
      <w:tr w:rsidR="00D94C4A">
        <w:tc>
          <w:tcPr>
            <w:tcW w:w="2628" w:type="dxa"/>
          </w:tcPr>
          <w:p w:rsidR="00D94C4A" w:rsidRDefault="0032553D">
            <w:pPr>
              <w:rPr>
                <w:b/>
                <w:bCs/>
              </w:rPr>
            </w:pPr>
            <w:r>
              <w:rPr>
                <w:b/>
                <w:bCs/>
              </w:rPr>
              <w:t>Habitat Priority Area Name: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D94C4A" w:rsidRDefault="00AE22AB" w:rsidP="002508AA">
            <w:pPr>
              <w:pStyle w:val="Heading1"/>
              <w:spacing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Sublette</w:t>
            </w:r>
            <w:r w:rsidR="00A34A62">
              <w:rPr>
                <w:b w:val="0"/>
                <w:bCs w:val="0"/>
              </w:rPr>
              <w:t xml:space="preserve"> Deer</w:t>
            </w:r>
          </w:p>
        </w:tc>
      </w:tr>
      <w:tr w:rsidR="00D94C4A">
        <w:tc>
          <w:tcPr>
            <w:tcW w:w="2628" w:type="dxa"/>
          </w:tcPr>
          <w:p w:rsidR="00D94C4A" w:rsidRDefault="0032553D" w:rsidP="00D468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Habitat Area Type</w:t>
            </w:r>
            <w:r w:rsidR="00D468CE">
              <w:rPr>
                <w:b/>
                <w:bCs/>
                <w:color w:val="000000"/>
              </w:rPr>
              <w:t xml:space="preserve"> </w:t>
            </w:r>
            <w:r w:rsidR="00065EC4">
              <w:rPr>
                <w:b/>
                <w:bCs/>
                <w:color w:val="000000"/>
              </w:rPr>
              <w:t>(s)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D94C4A" w:rsidRDefault="000C03DD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32553D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0"/>
            <w:r w:rsidR="0032553D">
              <w:rPr>
                <w:b/>
                <w:bCs/>
              </w:rPr>
              <w:t xml:space="preserve"> Aquatic    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2553D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32553D">
              <w:rPr>
                <w:b/>
                <w:bCs/>
              </w:rPr>
              <w:t xml:space="preserve"> Terrestrial   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53D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32553D">
              <w:rPr>
                <w:b/>
                <w:bCs/>
              </w:rPr>
              <w:t xml:space="preserve"> Combined</w:t>
            </w:r>
          </w:p>
          <w:p w:rsidR="00D94C4A" w:rsidRDefault="00A34A62" w:rsidP="00AE22AB">
            <w:pPr>
              <w:pStyle w:val="Header"/>
              <w:tabs>
                <w:tab w:val="clear" w:pos="4320"/>
                <w:tab w:val="clear" w:pos="8640"/>
              </w:tabs>
              <w:spacing w:after="120"/>
            </w:pPr>
            <w:r w:rsidRPr="00A34A62">
              <w:t>Sagebrush, mixed mountain shrub</w:t>
            </w:r>
            <w:r w:rsidR="00AE22AB">
              <w:t xml:space="preserve"> and aspen</w:t>
            </w:r>
            <w:r w:rsidRPr="00A34A62">
              <w:t>.</w:t>
            </w:r>
          </w:p>
        </w:tc>
      </w:tr>
      <w:tr w:rsidR="00D94C4A">
        <w:tc>
          <w:tcPr>
            <w:tcW w:w="2628" w:type="dxa"/>
          </w:tcPr>
          <w:p w:rsidR="00D94C4A" w:rsidRDefault="0032553D" w:rsidP="002508A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Habitat </w:t>
            </w:r>
            <w:r w:rsidR="002508AA">
              <w:rPr>
                <w:b/>
                <w:bCs/>
              </w:rPr>
              <w:t>Issue</w:t>
            </w:r>
            <w:r>
              <w:rPr>
                <w:b/>
                <w:bCs/>
              </w:rPr>
              <w:t>s: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E27D95" w:rsidRDefault="00E27D95" w:rsidP="00E27D95">
            <w:pPr>
              <w:pStyle w:val="Header"/>
              <w:rPr>
                <w:iCs/>
              </w:rPr>
            </w:pPr>
            <w:r w:rsidRPr="00E27D95">
              <w:rPr>
                <w:iCs/>
              </w:rPr>
              <w:t>Ungulate browse leve</w:t>
            </w:r>
            <w:r w:rsidR="00974BFE">
              <w:rPr>
                <w:iCs/>
              </w:rPr>
              <w:t>ls have been</w:t>
            </w:r>
            <w:r w:rsidRPr="00E27D95">
              <w:rPr>
                <w:iCs/>
              </w:rPr>
              <w:t xml:space="preserve"> historically severe and regenerati</w:t>
            </w:r>
            <w:r w:rsidR="00AE22AB">
              <w:rPr>
                <w:iCs/>
              </w:rPr>
              <w:t>on is minimal in many sagebrush</w:t>
            </w:r>
            <w:r w:rsidRPr="00E27D95">
              <w:rPr>
                <w:iCs/>
              </w:rPr>
              <w:t xml:space="preserve"> and mountain shrub communities.  Hist</w:t>
            </w:r>
            <w:r w:rsidR="00AE22AB">
              <w:rPr>
                <w:iCs/>
              </w:rPr>
              <w:t>oric ungulate population levels</w:t>
            </w:r>
            <w:r w:rsidRPr="00E27D95">
              <w:rPr>
                <w:iCs/>
              </w:rPr>
              <w:t xml:space="preserve"> and drought have most likely contributed to these conditions in many cases.</w:t>
            </w:r>
          </w:p>
          <w:p w:rsidR="00AE22AB" w:rsidRDefault="00AE22AB" w:rsidP="00E27D95">
            <w:pPr>
              <w:pStyle w:val="Header"/>
              <w:rPr>
                <w:iCs/>
              </w:rPr>
            </w:pPr>
          </w:p>
          <w:p w:rsidR="00AE22AB" w:rsidRPr="00E27D95" w:rsidRDefault="00AE22AB" w:rsidP="00E27D95">
            <w:pPr>
              <w:pStyle w:val="Header"/>
              <w:rPr>
                <w:iCs/>
              </w:rPr>
            </w:pPr>
            <w:r>
              <w:rPr>
                <w:iCs/>
              </w:rPr>
              <w:t xml:space="preserve">Lack of disturbance has preventing many communities from regeneration and recruitment of a mixed age class across the landscape.  Vegetation communities are functioning below their potential level.  </w:t>
            </w:r>
          </w:p>
          <w:p w:rsidR="00990767" w:rsidRPr="00E27D95" w:rsidRDefault="00990767" w:rsidP="00AE22AB">
            <w:pPr>
              <w:pStyle w:val="Header"/>
              <w:rPr>
                <w:iCs/>
              </w:rPr>
            </w:pPr>
          </w:p>
        </w:tc>
      </w:tr>
      <w:tr w:rsidR="00D94C4A">
        <w:tc>
          <w:tcPr>
            <w:tcW w:w="2628" w:type="dxa"/>
          </w:tcPr>
          <w:p w:rsidR="00D94C4A" w:rsidRDefault="0032553D">
            <w:r>
              <w:rPr>
                <w:b/>
                <w:bCs/>
              </w:rPr>
              <w:t>Reason Selected: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D94C4A" w:rsidRDefault="00E27D95" w:rsidP="00AE22AB">
            <w:pPr>
              <w:pStyle w:val="Header"/>
              <w:tabs>
                <w:tab w:val="clear" w:pos="4320"/>
                <w:tab w:val="clear" w:pos="8640"/>
              </w:tabs>
              <w:spacing w:after="120"/>
            </w:pPr>
            <w:r w:rsidRPr="00E27D95">
              <w:t xml:space="preserve">This area contains habitats crucial to mule deer, pronghorn, moose, and other sagebrush obligates. It includes </w:t>
            </w:r>
            <w:r>
              <w:t xml:space="preserve">important habitats identified for treatment through the </w:t>
            </w:r>
            <w:r w:rsidR="00AE22AB">
              <w:t>Sublette</w:t>
            </w:r>
            <w:r>
              <w:t xml:space="preserve"> Mule Deer </w:t>
            </w:r>
            <w:r w:rsidR="00AE22AB">
              <w:t>Mitigation Plan</w:t>
            </w:r>
            <w:r w:rsidRPr="00E27D95">
              <w:t>.</w:t>
            </w:r>
          </w:p>
        </w:tc>
      </w:tr>
      <w:tr w:rsidR="00D94C4A">
        <w:tc>
          <w:tcPr>
            <w:tcW w:w="2628" w:type="dxa"/>
          </w:tcPr>
          <w:p w:rsidR="00D94C4A" w:rsidRDefault="0032553D" w:rsidP="00D468CE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Area Boundary Description: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D94C4A" w:rsidRDefault="003F6E4F" w:rsidP="00AE22AB">
            <w:pPr>
              <w:pStyle w:val="Header"/>
              <w:tabs>
                <w:tab w:val="clear" w:pos="4320"/>
                <w:tab w:val="clear" w:pos="8640"/>
              </w:tabs>
              <w:spacing w:after="120"/>
            </w:pPr>
            <w:r>
              <w:t>Area</w:t>
            </w:r>
            <w:r w:rsidR="00AE22AB">
              <w:t>s</w:t>
            </w:r>
            <w:r>
              <w:t xml:space="preserve"> </w:t>
            </w:r>
            <w:r w:rsidR="00E27D95">
              <w:t xml:space="preserve">commonly referred to as the </w:t>
            </w:r>
            <w:r w:rsidR="00AE22AB">
              <w:t xml:space="preserve">Ryegrass, </w:t>
            </w:r>
            <w:proofErr w:type="spellStart"/>
            <w:r w:rsidR="00AE22AB">
              <w:t>Soapholes</w:t>
            </w:r>
            <w:proofErr w:type="spellEnd"/>
            <w:r w:rsidR="00AE22AB">
              <w:t xml:space="preserve"> and portions of the Mesa</w:t>
            </w:r>
            <w:r w:rsidR="00E27D95">
              <w:t xml:space="preserve">.  This area adjoins the Transitional and Aspen Enhancement Priority Area.  </w:t>
            </w:r>
            <w:r w:rsidR="00E33B9F" w:rsidRPr="00E33B9F">
              <w:t xml:space="preserve">  </w:t>
            </w:r>
            <w:r w:rsidR="002508AA">
              <w:t xml:space="preserve"> </w:t>
            </w:r>
          </w:p>
        </w:tc>
      </w:tr>
      <w:tr w:rsidR="00D94C4A">
        <w:tc>
          <w:tcPr>
            <w:tcW w:w="2628" w:type="dxa"/>
          </w:tcPr>
          <w:p w:rsidR="00D94C4A" w:rsidRDefault="00065E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Focal </w:t>
            </w:r>
            <w:r w:rsidR="0032553D">
              <w:rPr>
                <w:b/>
                <w:bCs/>
              </w:rPr>
              <w:t xml:space="preserve">species or </w:t>
            </w:r>
            <w:r w:rsidR="001D159C">
              <w:rPr>
                <w:b/>
                <w:bCs/>
              </w:rPr>
              <w:t xml:space="preserve">species </w:t>
            </w:r>
            <w:r w:rsidR="0032553D">
              <w:rPr>
                <w:b/>
                <w:bCs/>
              </w:rPr>
              <w:t>assemblage</w:t>
            </w:r>
            <w:r w:rsidR="001D159C">
              <w:rPr>
                <w:b/>
                <w:bCs/>
              </w:rPr>
              <w:t>(s)</w:t>
            </w:r>
            <w:r w:rsidR="0032553D">
              <w:rPr>
                <w:b/>
                <w:bCs/>
              </w:rPr>
              <w:t xml:space="preserve"> </w:t>
            </w:r>
            <w:r w:rsidR="00D468CE">
              <w:rPr>
                <w:b/>
                <w:bCs/>
              </w:rPr>
              <w:t>(</w:t>
            </w:r>
            <w:r w:rsidR="001D159C">
              <w:rPr>
                <w:b/>
                <w:bCs/>
              </w:rPr>
              <w:t xml:space="preserve">limit </w:t>
            </w:r>
            <w:r w:rsidR="00C2105F">
              <w:rPr>
                <w:b/>
                <w:bCs/>
              </w:rPr>
              <w:t>6</w:t>
            </w:r>
            <w:r w:rsidR="001D159C">
              <w:rPr>
                <w:b/>
                <w:bCs/>
              </w:rPr>
              <w:t>)</w:t>
            </w:r>
            <w:r w:rsidR="0032553D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p w:rsidR="00D54EB4" w:rsidRDefault="00D54EB4">
            <w:pPr>
              <w:rPr>
                <w:b/>
                <w:bCs/>
              </w:rPr>
            </w:pPr>
          </w:p>
          <w:p w:rsidR="00D54EB4" w:rsidRDefault="00D54EB4">
            <w:pPr>
              <w:rPr>
                <w:b/>
                <w:bCs/>
              </w:rPr>
            </w:pPr>
          </w:p>
          <w:p w:rsidR="00065EC4" w:rsidRDefault="00065E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SWAP Tier 1 </w:t>
            </w:r>
            <w:r w:rsidR="00E1150F">
              <w:rPr>
                <w:b/>
                <w:bCs/>
              </w:rPr>
              <w:t xml:space="preserve">      </w:t>
            </w:r>
            <w:r>
              <w:rPr>
                <w:b/>
                <w:bCs/>
              </w:rPr>
              <w:t>species:</w:t>
            </w:r>
          </w:p>
          <w:p w:rsidR="00065EC4" w:rsidRDefault="00065EC4">
            <w:pPr>
              <w:rPr>
                <w:b/>
                <w:bCs/>
              </w:rPr>
            </w:pP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D54EB4" w:rsidRDefault="0016516C">
            <w:pPr>
              <w:pStyle w:val="Header"/>
              <w:pBdr>
                <w:bottom w:val="single" w:sz="6" w:space="1" w:color="auto"/>
              </w:pBdr>
              <w:tabs>
                <w:tab w:val="clear" w:pos="4320"/>
                <w:tab w:val="clear" w:pos="8640"/>
              </w:tabs>
              <w:spacing w:after="120"/>
            </w:pPr>
            <w:r>
              <w:t xml:space="preserve"> </w:t>
            </w:r>
            <w:r w:rsidR="00E27D95">
              <w:t>Mule deer, pronghorn, and other sagebrush-obligate species</w:t>
            </w:r>
          </w:p>
          <w:p w:rsidR="00E1150F" w:rsidRPr="000E1C22" w:rsidRDefault="000E1C22" w:rsidP="00D87C84">
            <w:pPr>
              <w:rPr>
                <w:color w:val="000000"/>
              </w:rPr>
            </w:pPr>
            <w:r>
              <w:rPr>
                <w:color w:val="000000"/>
              </w:rPr>
              <w:t xml:space="preserve">Bald Eagle, Boreal Toad, Burrowing Owl, Canada Lynx, Common Loon, Ferruginous Hawk, Great Basin </w:t>
            </w:r>
            <w:proofErr w:type="spellStart"/>
            <w:r>
              <w:rPr>
                <w:color w:val="000000"/>
              </w:rPr>
              <w:t>Spadefoot</w:t>
            </w:r>
            <w:proofErr w:type="spellEnd"/>
            <w:r>
              <w:rPr>
                <w:color w:val="000000"/>
              </w:rPr>
              <w:t>, Great Gray Owl, Greater Sage-grouse, Mountain Plover, Northern Goshawk, Townsend's Big-eared Bat</w:t>
            </w:r>
          </w:p>
        </w:tc>
      </w:tr>
      <w:tr w:rsidR="00D94C4A">
        <w:tc>
          <w:tcPr>
            <w:tcW w:w="2628" w:type="dxa"/>
          </w:tcPr>
          <w:p w:rsidR="00D94C4A" w:rsidRDefault="0032553D">
            <w:pPr>
              <w:rPr>
                <w:b/>
                <w:bCs/>
              </w:rPr>
            </w:pPr>
            <w:r>
              <w:rPr>
                <w:b/>
                <w:bCs/>
              </w:rPr>
              <w:t>Solutions or actions: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</w:tcPr>
          <w:p w:rsidR="00E27D95" w:rsidRPr="00E27D95" w:rsidRDefault="00E27D95" w:rsidP="00E27D95">
            <w:pPr>
              <w:pStyle w:val="ListParagraph"/>
              <w:numPr>
                <w:ilvl w:val="0"/>
                <w:numId w:val="5"/>
              </w:numPr>
            </w:pPr>
            <w:r w:rsidRPr="00E27D95">
              <w:t xml:space="preserve">Sagebrush, mixed mountain shrub </w:t>
            </w:r>
            <w:r w:rsidR="00AE22AB">
              <w:t xml:space="preserve">and aspen </w:t>
            </w:r>
            <w:r w:rsidRPr="00E27D95">
              <w:t>communities could benefit from a variety of disturbance tools including: chemical, mechanical, and fire</w:t>
            </w:r>
            <w:r w:rsidR="00974BFE">
              <w:t xml:space="preserve"> as identified in the </w:t>
            </w:r>
            <w:r w:rsidR="00AE22AB">
              <w:t>Sublette Mule Deer Mitigation Plan on</w:t>
            </w:r>
            <w:r w:rsidR="00974BFE">
              <w:t xml:space="preserve"> BLM lands. Success of the project will</w:t>
            </w:r>
            <w:r w:rsidRPr="00E27D95">
              <w:t xml:space="preserve"> require grazing rest post-treatment. Ungulate and livestock utilization levels need to be monitored to adjust management accordingly.  </w:t>
            </w:r>
            <w:r w:rsidR="00262692">
              <w:t>Management actions to encourage spring herbaceous forage should be a priority.</w:t>
            </w:r>
          </w:p>
          <w:p w:rsidR="00E27D95" w:rsidRPr="00E27D95" w:rsidRDefault="00E27D95" w:rsidP="00E27D95">
            <w:pPr>
              <w:pStyle w:val="ListParagraph"/>
              <w:numPr>
                <w:ilvl w:val="0"/>
                <w:numId w:val="5"/>
              </w:numPr>
            </w:pPr>
            <w:r w:rsidRPr="00E27D95">
              <w:t>Develop gazing management agree</w:t>
            </w:r>
            <w:r>
              <w:t xml:space="preserve">ments with BLM, grazing </w:t>
            </w:r>
            <w:proofErr w:type="spellStart"/>
            <w:r>
              <w:t>permitt</w:t>
            </w:r>
            <w:r w:rsidRPr="00E27D95">
              <w:t>es</w:t>
            </w:r>
            <w:proofErr w:type="spellEnd"/>
            <w:r w:rsidRPr="00E27D95">
              <w:t xml:space="preserve"> and private landowners such as rest-rotation systems to allow for alternating spring use areas, adjusting intensity and duration, or leaving standing forage for wildlife utilization.</w:t>
            </w:r>
          </w:p>
          <w:p w:rsidR="00E27D95" w:rsidRPr="00E27D95" w:rsidRDefault="00E27D95" w:rsidP="00E27D95">
            <w:pPr>
              <w:pStyle w:val="ListParagraph"/>
              <w:numPr>
                <w:ilvl w:val="0"/>
                <w:numId w:val="5"/>
              </w:numPr>
            </w:pPr>
            <w:r w:rsidRPr="00E27D95">
              <w:lastRenderedPageBreak/>
              <w:t xml:space="preserve">Maintain wild ungulate populations that will allow habitat recovery and maintenance. </w:t>
            </w:r>
          </w:p>
          <w:p w:rsidR="00E27D95" w:rsidRPr="00E27D95" w:rsidRDefault="00E27D95" w:rsidP="00E27D95">
            <w:pPr>
              <w:pStyle w:val="ListParagraph"/>
              <w:numPr>
                <w:ilvl w:val="0"/>
                <w:numId w:val="5"/>
              </w:numPr>
            </w:pPr>
            <w:r w:rsidRPr="00E27D95">
              <w:t>Seek forage reserves</w:t>
            </w:r>
            <w:r w:rsidR="00974BFE">
              <w:t>, grass banks</w:t>
            </w:r>
            <w:r>
              <w:t xml:space="preserve"> and conservation easements</w:t>
            </w:r>
            <w:r w:rsidRPr="00E27D95">
              <w:t xml:space="preserve">. </w:t>
            </w:r>
          </w:p>
          <w:p w:rsidR="009731E1" w:rsidRPr="00E27D95" w:rsidRDefault="00E27D95" w:rsidP="003F6E4F">
            <w:pPr>
              <w:numPr>
                <w:ilvl w:val="0"/>
                <w:numId w:val="5"/>
              </w:numPr>
            </w:pPr>
            <w:r w:rsidRPr="00E27D95">
              <w:rPr>
                <w:iCs/>
              </w:rPr>
              <w:t>Insure sufficient grass residual cover for successful sage grouse nesting.</w:t>
            </w:r>
          </w:p>
        </w:tc>
      </w:tr>
      <w:tr w:rsidR="00D94C4A">
        <w:tc>
          <w:tcPr>
            <w:tcW w:w="2628" w:type="dxa"/>
          </w:tcPr>
          <w:p w:rsidR="00D94C4A" w:rsidRDefault="0003371B">
            <w:pPr>
              <w:rPr>
                <w:b/>
                <w:bCs/>
              </w:rPr>
            </w:pPr>
            <w:r w:rsidRPr="0003371B">
              <w:rPr>
                <w:b/>
                <w:bCs/>
              </w:rPr>
              <w:lastRenderedPageBreak/>
              <w:t>Additional Information:</w:t>
            </w:r>
          </w:p>
          <w:p w:rsidR="003F6E4F" w:rsidRPr="0003371B" w:rsidRDefault="003F6E4F">
            <w:pPr>
              <w:rPr>
                <w:b/>
                <w:bCs/>
              </w:rPr>
            </w:pPr>
          </w:p>
        </w:tc>
        <w:tc>
          <w:tcPr>
            <w:tcW w:w="6948" w:type="dxa"/>
            <w:tcBorders>
              <w:top w:val="single" w:sz="4" w:space="0" w:color="auto"/>
              <w:bottom w:val="single" w:sz="2" w:space="0" w:color="auto"/>
            </w:tcBorders>
          </w:tcPr>
          <w:p w:rsidR="00D94C4A" w:rsidRPr="002E16D9" w:rsidRDefault="00AE22AB" w:rsidP="00A9749E">
            <w:r w:rsidRPr="00AE22AB">
              <w:rPr>
                <w:iCs/>
              </w:rPr>
              <w:t xml:space="preserve">Energy and urban development activities have compromised winter ranges adjacent to this area over the last 10+ years and more development has been approved.   </w:t>
            </w:r>
            <w:r w:rsidR="00E94387">
              <w:rPr>
                <w:iCs/>
              </w:rPr>
              <w:t xml:space="preserve">Much of this area is identified as Sage Grouse Core Area which will require additional analysis for any identified treatments.  </w:t>
            </w:r>
            <w:hyperlink r:id="rId7" w:history="1"/>
          </w:p>
        </w:tc>
      </w:tr>
      <w:tr w:rsidR="00D94C4A">
        <w:tc>
          <w:tcPr>
            <w:tcW w:w="2628" w:type="dxa"/>
          </w:tcPr>
          <w:p w:rsidR="00D94C4A" w:rsidRPr="0003371B" w:rsidRDefault="00065EC4" w:rsidP="001D159C">
            <w:pPr>
              <w:rPr>
                <w:b/>
                <w:bCs/>
              </w:rPr>
            </w:pPr>
            <w:r w:rsidRPr="0003371B">
              <w:rPr>
                <w:b/>
              </w:rPr>
              <w:t xml:space="preserve">General </w:t>
            </w:r>
            <w:r w:rsidR="00D254F0" w:rsidRPr="0003371B">
              <w:rPr>
                <w:b/>
                <w:bCs/>
              </w:rPr>
              <w:t>land ownership and surface area: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2" w:space="0" w:color="auto"/>
            </w:tcBorders>
          </w:tcPr>
          <w:tbl>
            <w:tblPr>
              <w:tblW w:w="5200" w:type="dxa"/>
              <w:tblLook w:val="04A0"/>
            </w:tblPr>
            <w:tblGrid>
              <w:gridCol w:w="4240"/>
              <w:gridCol w:w="960"/>
            </w:tblGrid>
            <w:tr w:rsidR="00407D94" w:rsidRPr="00407D94" w:rsidTr="00407D94">
              <w:trPr>
                <w:trHeight w:val="288"/>
              </w:trPr>
              <w:tc>
                <w:tcPr>
                  <w:tcW w:w="42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7D94" w:rsidRPr="00407D94" w:rsidRDefault="00D74CE9" w:rsidP="00407D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BLM: 108,751 ac (42%), </w:t>
                  </w:r>
                  <w:r>
                    <w:rPr>
                      <w:color w:val="000000"/>
                    </w:rPr>
                    <w:br/>
                    <w:t xml:space="preserve">USFS: 56 ac (0%), </w:t>
                  </w:r>
                  <w:r>
                    <w:rPr>
                      <w:color w:val="000000"/>
                    </w:rPr>
                    <w:br/>
                    <w:t xml:space="preserve">State: 13,076 ac (5%), </w:t>
                  </w:r>
                  <w:r>
                    <w:rPr>
                      <w:color w:val="000000"/>
                    </w:rPr>
                    <w:br/>
                    <w:t xml:space="preserve">Private: 138,665 ac (53%), </w:t>
                  </w:r>
                  <w:r>
                    <w:rPr>
                      <w:color w:val="000000"/>
                    </w:rPr>
                    <w:br/>
                    <w:t xml:space="preserve">Water: 1,008 ac (0%), </w:t>
                  </w:r>
                  <w:r>
                    <w:rPr>
                      <w:color w:val="000000"/>
                    </w:rPr>
                    <w:br/>
                    <w:t>Total area: 261,555 ac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7D94" w:rsidRPr="00407D94" w:rsidRDefault="00407D94" w:rsidP="00407D94">
                  <w:pPr>
                    <w:jc w:val="right"/>
                    <w:rPr>
                      <w:color w:val="000000"/>
                    </w:rPr>
                  </w:pPr>
                </w:p>
              </w:tc>
            </w:tr>
          </w:tbl>
          <w:p w:rsidR="00065EC4" w:rsidRDefault="00065EC4">
            <w:pPr>
              <w:pStyle w:val="Header"/>
              <w:tabs>
                <w:tab w:val="clear" w:pos="4320"/>
                <w:tab w:val="clear" w:pos="8640"/>
              </w:tabs>
              <w:spacing w:after="120"/>
            </w:pPr>
          </w:p>
        </w:tc>
      </w:tr>
    </w:tbl>
    <w:p w:rsidR="00D94C4A" w:rsidRDefault="00D94C4A">
      <w:pPr>
        <w:pStyle w:val="Header"/>
        <w:tabs>
          <w:tab w:val="clear" w:pos="4320"/>
          <w:tab w:val="clear" w:pos="8640"/>
        </w:tabs>
      </w:pPr>
    </w:p>
    <w:p w:rsidR="00065EC4" w:rsidRDefault="00065EC4">
      <w:pPr>
        <w:pStyle w:val="Header"/>
        <w:tabs>
          <w:tab w:val="clear" w:pos="4320"/>
          <w:tab w:val="clear" w:pos="8640"/>
        </w:tabs>
      </w:pPr>
    </w:p>
    <w:sectPr w:rsidR="00065EC4" w:rsidSect="00D94C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418" w:rsidRDefault="00B11418">
      <w:r>
        <w:separator/>
      </w:r>
    </w:p>
  </w:endnote>
  <w:endnote w:type="continuationSeparator" w:id="0">
    <w:p w:rsidR="00B11418" w:rsidRDefault="00B11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CE9" w:rsidRDefault="00D74C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CE9" w:rsidRDefault="00D74CE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CE9" w:rsidRDefault="00D74C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418" w:rsidRDefault="00B11418">
      <w:r>
        <w:separator/>
      </w:r>
    </w:p>
  </w:footnote>
  <w:footnote w:type="continuationSeparator" w:id="0">
    <w:p w:rsidR="00B11418" w:rsidRDefault="00B114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CE9" w:rsidRDefault="00D74C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55F" w:rsidRDefault="00E0755F">
    <w:pPr>
      <w:pStyle w:val="Header"/>
      <w:rPr>
        <w:b/>
        <w:bCs/>
      </w:rPr>
    </w:pPr>
    <w:r>
      <w:rPr>
        <w:b/>
        <w:bCs/>
      </w:rPr>
      <w:t xml:space="preserve">Wyoming Game and Fish Department                      </w:t>
    </w:r>
    <w:r>
      <w:rPr>
        <w:b/>
        <w:bCs/>
      </w:rPr>
      <w:tab/>
      <w:t xml:space="preserve">rev. </w:t>
    </w:r>
    <w:r w:rsidR="00D74CE9">
      <w:rPr>
        <w:b/>
        <w:bCs/>
      </w:rPr>
      <w:t>3</w:t>
    </w:r>
    <w:r w:rsidR="00F81E86">
      <w:rPr>
        <w:b/>
        <w:bCs/>
      </w:rPr>
      <w:t>/</w:t>
    </w:r>
    <w:r w:rsidR="00D74CE9">
      <w:rPr>
        <w:b/>
        <w:bCs/>
      </w:rPr>
      <w:t>9/2015</w:t>
    </w:r>
  </w:p>
  <w:p w:rsidR="00E0755F" w:rsidRDefault="00E0755F">
    <w:pPr>
      <w:pStyle w:val="Header"/>
      <w:rPr>
        <w:b/>
        <w:bCs/>
      </w:rPr>
    </w:pPr>
    <w:r>
      <w:rPr>
        <w:b/>
        <w:bCs/>
      </w:rPr>
      <w:t xml:space="preserve">Strategic Habitat Plan </w:t>
    </w:r>
  </w:p>
  <w:p w:rsidR="00E0755F" w:rsidRDefault="00E0755F">
    <w:pPr>
      <w:pStyle w:val="Header"/>
      <w:rPr>
        <w:b/>
        <w:bCs/>
      </w:rPr>
    </w:pPr>
  </w:p>
  <w:p w:rsidR="00E0755F" w:rsidRDefault="002508AA">
    <w:pPr>
      <w:pStyle w:val="Header"/>
      <w:jc w:val="center"/>
      <w:rPr>
        <w:b/>
        <w:bCs/>
      </w:rPr>
    </w:pPr>
    <w:r>
      <w:rPr>
        <w:b/>
        <w:bCs/>
      </w:rPr>
      <w:t>Enhancement</w:t>
    </w:r>
    <w:r w:rsidR="00E0755F">
      <w:rPr>
        <w:b/>
        <w:bCs/>
      </w:rPr>
      <w:t xml:space="preserve"> Habitat Area Narrative</w:t>
    </w:r>
  </w:p>
  <w:p w:rsidR="00E0755F" w:rsidRDefault="00E0755F">
    <w:pPr>
      <w:pStyle w:val="Header"/>
      <w:rPr>
        <w:b/>
        <w:bCs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CE9" w:rsidRDefault="00D74C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90ED7"/>
    <w:multiLevelType w:val="hybridMultilevel"/>
    <w:tmpl w:val="AB60F9B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5116C8"/>
    <w:multiLevelType w:val="hybridMultilevel"/>
    <w:tmpl w:val="63C84A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533C48"/>
    <w:multiLevelType w:val="hybridMultilevel"/>
    <w:tmpl w:val="EEA0FA88"/>
    <w:lvl w:ilvl="0" w:tplc="B7969FE2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3">
    <w:nsid w:val="646D65BA"/>
    <w:multiLevelType w:val="hybridMultilevel"/>
    <w:tmpl w:val="19F2AB4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CB7518"/>
    <w:multiLevelType w:val="hybridMultilevel"/>
    <w:tmpl w:val="E3DE4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EC4"/>
    <w:rsid w:val="0003371B"/>
    <w:rsid w:val="000374DE"/>
    <w:rsid w:val="00055292"/>
    <w:rsid w:val="00065EC4"/>
    <w:rsid w:val="000B7221"/>
    <w:rsid w:val="000C03DD"/>
    <w:rsid w:val="000E1C22"/>
    <w:rsid w:val="00133517"/>
    <w:rsid w:val="0016516C"/>
    <w:rsid w:val="001D159C"/>
    <w:rsid w:val="002026EE"/>
    <w:rsid w:val="00217726"/>
    <w:rsid w:val="002508AA"/>
    <w:rsid w:val="00262692"/>
    <w:rsid w:val="002E16D9"/>
    <w:rsid w:val="002E5AC9"/>
    <w:rsid w:val="0030699B"/>
    <w:rsid w:val="0032553D"/>
    <w:rsid w:val="003F6E4F"/>
    <w:rsid w:val="00407D94"/>
    <w:rsid w:val="0042469E"/>
    <w:rsid w:val="004A2A78"/>
    <w:rsid w:val="004D775E"/>
    <w:rsid w:val="0052701B"/>
    <w:rsid w:val="00596CEA"/>
    <w:rsid w:val="005C394D"/>
    <w:rsid w:val="006D5C80"/>
    <w:rsid w:val="00742602"/>
    <w:rsid w:val="00842FA8"/>
    <w:rsid w:val="008575F0"/>
    <w:rsid w:val="00896D06"/>
    <w:rsid w:val="008E6664"/>
    <w:rsid w:val="0095576F"/>
    <w:rsid w:val="009731E1"/>
    <w:rsid w:val="00974BFE"/>
    <w:rsid w:val="00990767"/>
    <w:rsid w:val="009D0034"/>
    <w:rsid w:val="009D1E32"/>
    <w:rsid w:val="00A03D98"/>
    <w:rsid w:val="00A25F84"/>
    <w:rsid w:val="00A330FA"/>
    <w:rsid w:val="00A34A62"/>
    <w:rsid w:val="00A9749E"/>
    <w:rsid w:val="00AE22AB"/>
    <w:rsid w:val="00B11418"/>
    <w:rsid w:val="00B707E5"/>
    <w:rsid w:val="00BB5605"/>
    <w:rsid w:val="00C2105F"/>
    <w:rsid w:val="00C567E4"/>
    <w:rsid w:val="00C76B90"/>
    <w:rsid w:val="00C92646"/>
    <w:rsid w:val="00CF2FA6"/>
    <w:rsid w:val="00D254F0"/>
    <w:rsid w:val="00D468CE"/>
    <w:rsid w:val="00D54EB4"/>
    <w:rsid w:val="00D74CE9"/>
    <w:rsid w:val="00D87C84"/>
    <w:rsid w:val="00D94C4A"/>
    <w:rsid w:val="00E015FE"/>
    <w:rsid w:val="00E0755F"/>
    <w:rsid w:val="00E1150F"/>
    <w:rsid w:val="00E27D95"/>
    <w:rsid w:val="00E33B9F"/>
    <w:rsid w:val="00E8485D"/>
    <w:rsid w:val="00E94387"/>
    <w:rsid w:val="00F10F30"/>
    <w:rsid w:val="00F23E12"/>
    <w:rsid w:val="00F81E86"/>
    <w:rsid w:val="00FC0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C4A"/>
    <w:rPr>
      <w:sz w:val="24"/>
      <w:szCs w:val="24"/>
    </w:rPr>
  </w:style>
  <w:style w:type="paragraph" w:styleId="Heading1">
    <w:name w:val="heading 1"/>
    <w:basedOn w:val="Normal"/>
    <w:next w:val="Normal"/>
    <w:qFormat/>
    <w:rsid w:val="00D94C4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94C4A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D94C4A"/>
    <w:pPr>
      <w:keepNext/>
      <w:spacing w:before="120"/>
      <w:outlineLvl w:val="2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94C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94C4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D94C4A"/>
    <w:pPr>
      <w:spacing w:after="120"/>
      <w:ind w:left="1440"/>
    </w:pPr>
  </w:style>
  <w:style w:type="character" w:styleId="CommentReference">
    <w:name w:val="annotation reference"/>
    <w:basedOn w:val="DefaultParagraphFont"/>
    <w:semiHidden/>
    <w:rsid w:val="00D94C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94C4A"/>
    <w:rPr>
      <w:sz w:val="20"/>
      <w:szCs w:val="20"/>
    </w:rPr>
  </w:style>
  <w:style w:type="paragraph" w:styleId="NormalWeb">
    <w:name w:val="Normal (Web)"/>
    <w:basedOn w:val="Normal"/>
    <w:semiHidden/>
    <w:rsid w:val="00D94C4A"/>
    <w:pPr>
      <w:spacing w:before="168" w:after="216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sid w:val="00D94C4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EC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59C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D159C"/>
  </w:style>
  <w:style w:type="character" w:customStyle="1" w:styleId="CommentSubjectChar">
    <w:name w:val="Comment Subject Char"/>
    <w:basedOn w:val="CommentTextChar"/>
    <w:link w:val="CommentSubject"/>
    <w:rsid w:val="001D159C"/>
  </w:style>
  <w:style w:type="paragraph" w:styleId="Revision">
    <w:name w:val="Revision"/>
    <w:hidden/>
    <w:uiPriority w:val="99"/>
    <w:semiHidden/>
    <w:rsid w:val="001D159C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F6E4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F6E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F6E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r1.dfg.ca.gov/Portal/Portals/12/Aspen/Aspen.JP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Region:_________________________________________</vt:lpstr>
    </vt:vector>
  </TitlesOfParts>
  <Company>Wyoming Game &amp; Fish Dept.</Company>
  <LinksUpToDate>false</LinksUpToDate>
  <CharactersWithSpaces>2957</CharactersWithSpaces>
  <SharedDoc>false</SharedDoc>
  <HLinks>
    <vt:vector size="6" baseType="variant">
      <vt:variant>
        <vt:i4>2490472</vt:i4>
      </vt:variant>
      <vt:variant>
        <vt:i4>6</vt:i4>
      </vt:variant>
      <vt:variant>
        <vt:i4>0</vt:i4>
      </vt:variant>
      <vt:variant>
        <vt:i4>5</vt:i4>
      </vt:variant>
      <vt:variant>
        <vt:lpwstr>https://r1.dfg.ca.gov/Portal/Portals/12/Aspen/Aspen.JPG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Region:_________________________________________</dc:title>
  <dc:creator>Bill Cowling</dc:creator>
  <cp:lastModifiedBy>TG</cp:lastModifiedBy>
  <cp:revision>3</cp:revision>
  <cp:lastPrinted>2008-07-10T22:57:00Z</cp:lastPrinted>
  <dcterms:created xsi:type="dcterms:W3CDTF">2015-03-06T20:55:00Z</dcterms:created>
  <dcterms:modified xsi:type="dcterms:W3CDTF">2015-03-12T18:45:00Z</dcterms:modified>
</cp:coreProperties>
</file>