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628"/>
        <w:gridCol w:w="6948"/>
      </w:tblGrid>
      <w:tr w:rsidR="00671CE9">
        <w:tc>
          <w:tcPr>
            <w:tcW w:w="2628" w:type="dxa"/>
          </w:tcPr>
          <w:p w:rsidR="00671CE9" w:rsidRDefault="00671CE9">
            <w:pPr>
              <w:pStyle w:val="Header"/>
              <w:tabs>
                <w:tab w:val="clear" w:pos="4320"/>
                <w:tab w:val="clear" w:pos="8640"/>
              </w:tabs>
              <w:rPr>
                <w:b/>
                <w:bCs/>
              </w:rPr>
            </w:pPr>
            <w:r>
              <w:rPr>
                <w:b/>
                <w:bCs/>
              </w:rPr>
              <w:t>Region:</w:t>
            </w:r>
          </w:p>
        </w:tc>
        <w:tc>
          <w:tcPr>
            <w:tcW w:w="6948" w:type="dxa"/>
            <w:tcBorders>
              <w:bottom w:val="single" w:sz="4" w:space="0" w:color="auto"/>
            </w:tcBorders>
          </w:tcPr>
          <w:p w:rsidR="00671CE9" w:rsidRDefault="00671CE9">
            <w:pPr>
              <w:pStyle w:val="Heading1"/>
              <w:spacing w:after="120"/>
              <w:rPr>
                <w:b w:val="0"/>
                <w:bCs w:val="0"/>
              </w:rPr>
            </w:pPr>
            <w:r>
              <w:rPr>
                <w:b w:val="0"/>
                <w:bCs w:val="0"/>
              </w:rPr>
              <w:t>Green River</w:t>
            </w:r>
          </w:p>
        </w:tc>
      </w:tr>
      <w:tr w:rsidR="00671CE9">
        <w:tc>
          <w:tcPr>
            <w:tcW w:w="2628" w:type="dxa"/>
          </w:tcPr>
          <w:p w:rsidR="00671CE9" w:rsidRDefault="00671CE9">
            <w:pPr>
              <w:rPr>
                <w:b/>
                <w:bCs/>
              </w:rPr>
            </w:pPr>
            <w:r>
              <w:rPr>
                <w:b/>
                <w:bCs/>
              </w:rPr>
              <w:t>Habitat Priority Area Name:</w:t>
            </w:r>
          </w:p>
        </w:tc>
        <w:tc>
          <w:tcPr>
            <w:tcW w:w="6948" w:type="dxa"/>
            <w:tcBorders>
              <w:bottom w:val="single" w:sz="4" w:space="0" w:color="auto"/>
            </w:tcBorders>
          </w:tcPr>
          <w:p w:rsidR="00671CE9" w:rsidRDefault="00671CE9">
            <w:pPr>
              <w:pStyle w:val="Heading1"/>
              <w:spacing w:after="120"/>
              <w:rPr>
                <w:b w:val="0"/>
                <w:bCs w:val="0"/>
              </w:rPr>
            </w:pPr>
            <w:r>
              <w:rPr>
                <w:b w:val="0"/>
                <w:bCs w:val="0"/>
              </w:rPr>
              <w:t xml:space="preserve">Lower Big Sandy River Corridor </w:t>
            </w:r>
          </w:p>
        </w:tc>
      </w:tr>
      <w:tr w:rsidR="00671CE9">
        <w:tc>
          <w:tcPr>
            <w:tcW w:w="2628" w:type="dxa"/>
          </w:tcPr>
          <w:p w:rsidR="00671CE9" w:rsidRDefault="00671CE9">
            <w:pPr>
              <w:rPr>
                <w:b/>
                <w:bCs/>
                <w:color w:val="000000"/>
              </w:rPr>
            </w:pPr>
            <w:r>
              <w:rPr>
                <w:b/>
                <w:bCs/>
                <w:color w:val="000000"/>
              </w:rPr>
              <w:t>Habitat Area Type:</w:t>
            </w:r>
          </w:p>
        </w:tc>
        <w:tc>
          <w:tcPr>
            <w:tcW w:w="6948" w:type="dxa"/>
            <w:tcBorders>
              <w:bottom w:val="single" w:sz="4" w:space="0" w:color="auto"/>
            </w:tcBorders>
          </w:tcPr>
          <w:p w:rsidR="00671CE9" w:rsidRDefault="00F429D9">
            <w:pPr>
              <w:spacing w:after="120"/>
            </w:pPr>
            <w:r>
              <w:fldChar w:fldCharType="begin">
                <w:ffData>
                  <w:name w:val="Check1"/>
                  <w:enabled/>
                  <w:calcOnExit w:val="0"/>
                  <w:checkBox>
                    <w:sizeAuto/>
                    <w:default w:val="1"/>
                  </w:checkBox>
                </w:ffData>
              </w:fldChar>
            </w:r>
            <w:bookmarkStart w:id="0" w:name="Check1"/>
            <w:r w:rsidR="00671CE9">
              <w:instrText xml:space="preserve"> FORMCHECKBOX </w:instrText>
            </w:r>
            <w:r>
              <w:fldChar w:fldCharType="separate"/>
            </w:r>
            <w:r>
              <w:fldChar w:fldCharType="end"/>
            </w:r>
            <w:bookmarkEnd w:id="0"/>
            <w:r w:rsidR="00671CE9">
              <w:t xml:space="preserve"> Aquatic     </w:t>
            </w:r>
            <w:r>
              <w:fldChar w:fldCharType="begin">
                <w:ffData>
                  <w:name w:val=""/>
                  <w:enabled/>
                  <w:calcOnExit w:val="0"/>
                  <w:checkBox>
                    <w:sizeAuto/>
                    <w:default w:val="0"/>
                  </w:checkBox>
                </w:ffData>
              </w:fldChar>
            </w:r>
            <w:r w:rsidR="00671CE9">
              <w:instrText xml:space="preserve"> FORMCHECKBOX </w:instrText>
            </w:r>
            <w:r>
              <w:fldChar w:fldCharType="separate"/>
            </w:r>
            <w:r>
              <w:fldChar w:fldCharType="end"/>
            </w:r>
            <w:r w:rsidR="00671CE9">
              <w:t xml:space="preserve"> Terrestrial    </w:t>
            </w:r>
            <w:r>
              <w:fldChar w:fldCharType="begin">
                <w:ffData>
                  <w:name w:val=""/>
                  <w:enabled/>
                  <w:calcOnExit w:val="0"/>
                  <w:checkBox>
                    <w:sizeAuto/>
                    <w:default w:val="0"/>
                  </w:checkBox>
                </w:ffData>
              </w:fldChar>
            </w:r>
            <w:r w:rsidR="00671CE9">
              <w:instrText xml:space="preserve"> FORMCHECKBOX </w:instrText>
            </w:r>
            <w:r>
              <w:fldChar w:fldCharType="separate"/>
            </w:r>
            <w:r>
              <w:fldChar w:fldCharType="end"/>
            </w:r>
            <w:r w:rsidR="00671CE9">
              <w:t xml:space="preserve"> Combined</w:t>
            </w:r>
          </w:p>
          <w:p w:rsidR="00671CE9" w:rsidRDefault="00671CE9">
            <w:pPr>
              <w:spacing w:after="120"/>
            </w:pPr>
            <w:r>
              <w:t>Stream, riparian, willow</w:t>
            </w:r>
          </w:p>
        </w:tc>
      </w:tr>
      <w:tr w:rsidR="00671CE9">
        <w:tc>
          <w:tcPr>
            <w:tcW w:w="2628" w:type="dxa"/>
          </w:tcPr>
          <w:p w:rsidR="00671CE9" w:rsidRDefault="00671CE9">
            <w:pPr>
              <w:rPr>
                <w:b/>
                <w:bCs/>
              </w:rPr>
            </w:pPr>
            <w:r>
              <w:rPr>
                <w:b/>
                <w:bCs/>
              </w:rPr>
              <w:t>Habitat Issues:</w:t>
            </w:r>
          </w:p>
        </w:tc>
        <w:tc>
          <w:tcPr>
            <w:tcW w:w="6948" w:type="dxa"/>
            <w:tcBorders>
              <w:bottom w:val="single" w:sz="4" w:space="0" w:color="auto"/>
            </w:tcBorders>
          </w:tcPr>
          <w:p w:rsidR="00671CE9" w:rsidRDefault="00671CE9" w:rsidP="00140C86">
            <w:pPr>
              <w:pStyle w:val="List"/>
              <w:spacing w:before="120"/>
              <w:ind w:left="0" w:firstLine="0"/>
              <w:rPr>
                <w:sz w:val="24"/>
              </w:rPr>
            </w:pPr>
            <w:r>
              <w:rPr>
                <w:sz w:val="24"/>
              </w:rPr>
              <w:t xml:space="preserve">Approximately </w:t>
            </w:r>
            <w:r w:rsidR="00E33E8B">
              <w:rPr>
                <w:sz w:val="24"/>
              </w:rPr>
              <w:t>48</w:t>
            </w:r>
            <w:r>
              <w:rPr>
                <w:sz w:val="24"/>
              </w:rPr>
              <w:t xml:space="preserve"> </w:t>
            </w:r>
            <w:r w:rsidR="00E33E8B">
              <w:rPr>
                <w:sz w:val="24"/>
              </w:rPr>
              <w:t xml:space="preserve">instream </w:t>
            </w:r>
            <w:r>
              <w:rPr>
                <w:sz w:val="24"/>
              </w:rPr>
              <w:t xml:space="preserve">rock sill structures </w:t>
            </w:r>
            <w:r w:rsidR="00E33E8B">
              <w:rPr>
                <w:sz w:val="24"/>
              </w:rPr>
              <w:t xml:space="preserve">were constructed </w:t>
            </w:r>
            <w:r>
              <w:rPr>
                <w:sz w:val="24"/>
              </w:rPr>
              <w:t>on the lower Big Sandy River.  M</w:t>
            </w:r>
            <w:r w:rsidR="00E33E8B">
              <w:rPr>
                <w:sz w:val="24"/>
              </w:rPr>
              <w:t>any</w:t>
            </w:r>
            <w:r>
              <w:rPr>
                <w:sz w:val="24"/>
              </w:rPr>
              <w:t xml:space="preserve"> of these sills are functioning properly, others require additional maintenance work so they can function soundly, and there are still other reaches of the river where new sill construction will benefit the aquatic and riparian system.</w:t>
            </w:r>
          </w:p>
          <w:p w:rsidR="00671CE9" w:rsidRDefault="00671CE9" w:rsidP="00140C86">
            <w:pPr>
              <w:pStyle w:val="List"/>
              <w:spacing w:before="120"/>
              <w:ind w:left="0" w:firstLine="0"/>
              <w:rPr>
                <w:sz w:val="24"/>
              </w:rPr>
            </w:pPr>
            <w:r>
              <w:rPr>
                <w:sz w:val="24"/>
              </w:rPr>
              <w:t xml:space="preserve">The goals of the sill project </w:t>
            </w:r>
            <w:r w:rsidR="00140C86">
              <w:rPr>
                <w:sz w:val="24"/>
              </w:rPr>
              <w:t>are</w:t>
            </w:r>
            <w:r>
              <w:rPr>
                <w:sz w:val="24"/>
              </w:rPr>
              <w:t xml:space="preserve">:  1) raise the water table to enhance riparian vegetation, 2) provide fry and juvenile habitat for juvenile trout dropping out of Bone Draw and the TU streamside incubators, 3) create clean (free of sand) substrate for </w:t>
            </w:r>
            <w:r w:rsidR="00E33E8B">
              <w:rPr>
                <w:sz w:val="24"/>
              </w:rPr>
              <w:t>benthic</w:t>
            </w:r>
            <w:r>
              <w:rPr>
                <w:sz w:val="24"/>
              </w:rPr>
              <w:t xml:space="preserve"> </w:t>
            </w:r>
            <w:proofErr w:type="spellStart"/>
            <w:r>
              <w:rPr>
                <w:sz w:val="24"/>
              </w:rPr>
              <w:t>macroinvertebrates</w:t>
            </w:r>
            <w:proofErr w:type="spellEnd"/>
            <w:r w:rsidR="00140C86">
              <w:rPr>
                <w:sz w:val="24"/>
              </w:rPr>
              <w:t>,</w:t>
            </w:r>
            <w:r>
              <w:rPr>
                <w:sz w:val="24"/>
              </w:rPr>
              <w:t xml:space="preserve"> 4) create pools, </w:t>
            </w:r>
            <w:r w:rsidR="00E33E8B">
              <w:rPr>
                <w:sz w:val="24"/>
              </w:rPr>
              <w:t>tail-out glides</w:t>
            </w:r>
            <w:r>
              <w:rPr>
                <w:sz w:val="24"/>
              </w:rPr>
              <w:t xml:space="preserve">, and overall </w:t>
            </w:r>
            <w:r w:rsidR="00E33E8B">
              <w:rPr>
                <w:sz w:val="24"/>
              </w:rPr>
              <w:t>improve</w:t>
            </w:r>
            <w:r>
              <w:rPr>
                <w:sz w:val="24"/>
              </w:rPr>
              <w:t xml:space="preserve"> channel </w:t>
            </w:r>
            <w:r w:rsidR="00E33E8B">
              <w:rPr>
                <w:sz w:val="24"/>
              </w:rPr>
              <w:t xml:space="preserve">habitat complexity </w:t>
            </w:r>
            <w:r>
              <w:rPr>
                <w:sz w:val="24"/>
              </w:rPr>
              <w:t xml:space="preserve">and 5) narrow and deepen the channel.  </w:t>
            </w:r>
          </w:p>
        </w:tc>
      </w:tr>
      <w:tr w:rsidR="00671CE9">
        <w:tc>
          <w:tcPr>
            <w:tcW w:w="2628" w:type="dxa"/>
          </w:tcPr>
          <w:p w:rsidR="00671CE9" w:rsidRDefault="00671CE9">
            <w:r>
              <w:rPr>
                <w:b/>
                <w:bCs/>
              </w:rPr>
              <w:t>Reason Selected:</w:t>
            </w:r>
          </w:p>
        </w:tc>
        <w:tc>
          <w:tcPr>
            <w:tcW w:w="6948" w:type="dxa"/>
            <w:tcBorders>
              <w:bottom w:val="single" w:sz="4" w:space="0" w:color="auto"/>
            </w:tcBorders>
          </w:tcPr>
          <w:p w:rsidR="00671CE9" w:rsidRDefault="00671CE9" w:rsidP="00140C86">
            <w:pPr>
              <w:pStyle w:val="Header"/>
              <w:tabs>
                <w:tab w:val="clear" w:pos="4320"/>
                <w:tab w:val="clear" w:pos="8640"/>
              </w:tabs>
              <w:spacing w:after="120"/>
            </w:pPr>
            <w:r>
              <w:t>Existing rock sill structures are in need of maintenance work to perform as designed.  Opportunity may exist to construct additional sills at new sites along this enhancement corridor.</w:t>
            </w:r>
          </w:p>
        </w:tc>
      </w:tr>
      <w:tr w:rsidR="00671CE9">
        <w:tc>
          <w:tcPr>
            <w:tcW w:w="2628" w:type="dxa"/>
          </w:tcPr>
          <w:p w:rsidR="00671CE9" w:rsidRDefault="00671CE9">
            <w:pPr>
              <w:rPr>
                <w:b/>
                <w:bCs/>
                <w:color w:val="FF0000"/>
              </w:rPr>
            </w:pPr>
            <w:r>
              <w:rPr>
                <w:b/>
                <w:bCs/>
              </w:rPr>
              <w:t>Area Boundary Description:</w:t>
            </w:r>
          </w:p>
        </w:tc>
        <w:tc>
          <w:tcPr>
            <w:tcW w:w="6948" w:type="dxa"/>
            <w:tcBorders>
              <w:bottom w:val="single" w:sz="4" w:space="0" w:color="auto"/>
            </w:tcBorders>
          </w:tcPr>
          <w:p w:rsidR="00671CE9" w:rsidRDefault="00671CE9">
            <w:pPr>
              <w:pStyle w:val="Header"/>
              <w:tabs>
                <w:tab w:val="clear" w:pos="4320"/>
                <w:tab w:val="clear" w:pos="8640"/>
              </w:tabs>
              <w:spacing w:after="120"/>
            </w:pPr>
            <w:r>
              <w:t xml:space="preserve">The delineated enhancement river corridor is the Big Sandy River between </w:t>
            </w:r>
            <w:proofErr w:type="spellStart"/>
            <w:r>
              <w:t>Farson</w:t>
            </w:r>
            <w:proofErr w:type="spellEnd"/>
            <w:r>
              <w:t xml:space="preserve"> and </w:t>
            </w:r>
            <w:proofErr w:type="spellStart"/>
            <w:r>
              <w:t>Gasson</w:t>
            </w:r>
            <w:proofErr w:type="spellEnd"/>
            <w:r>
              <w:t xml:space="preserve"> Bridge.</w:t>
            </w:r>
          </w:p>
        </w:tc>
      </w:tr>
      <w:tr w:rsidR="00671CE9">
        <w:tc>
          <w:tcPr>
            <w:tcW w:w="2628" w:type="dxa"/>
          </w:tcPr>
          <w:p w:rsidR="00671CE9" w:rsidRDefault="00216882" w:rsidP="00E33E8B">
            <w:pPr>
              <w:rPr>
                <w:b/>
                <w:bCs/>
              </w:rPr>
            </w:pPr>
            <w:r>
              <w:rPr>
                <w:b/>
                <w:bCs/>
              </w:rPr>
              <w:t>Focal species or species assemblage(s) (limit 6):</w:t>
            </w:r>
          </w:p>
          <w:p w:rsidR="00216882" w:rsidRDefault="00216882" w:rsidP="00E33E8B">
            <w:pPr>
              <w:rPr>
                <w:b/>
                <w:bCs/>
              </w:rPr>
            </w:pPr>
          </w:p>
        </w:tc>
        <w:tc>
          <w:tcPr>
            <w:tcW w:w="6948" w:type="dxa"/>
            <w:tcBorders>
              <w:bottom w:val="single" w:sz="4" w:space="0" w:color="auto"/>
            </w:tcBorders>
          </w:tcPr>
          <w:p w:rsidR="00671CE9" w:rsidRDefault="00671CE9">
            <w:pPr>
              <w:pStyle w:val="Header"/>
              <w:tabs>
                <w:tab w:val="clear" w:pos="4320"/>
                <w:tab w:val="clear" w:pos="8640"/>
              </w:tabs>
              <w:spacing w:after="120"/>
            </w:pPr>
            <w:r>
              <w:t>Rainbow trout, brown trout, cutthroat trout, flannelmouth sucker (NSS1), mountain sucker (NSS3)</w:t>
            </w:r>
          </w:p>
        </w:tc>
      </w:tr>
      <w:tr w:rsidR="00671CE9">
        <w:tc>
          <w:tcPr>
            <w:tcW w:w="2628" w:type="dxa"/>
          </w:tcPr>
          <w:p w:rsidR="00E33E8B" w:rsidRDefault="00E33E8B" w:rsidP="00E33E8B">
            <w:pPr>
              <w:rPr>
                <w:b/>
                <w:bCs/>
              </w:rPr>
            </w:pPr>
            <w:r>
              <w:rPr>
                <w:b/>
                <w:bCs/>
              </w:rPr>
              <w:t>SWAP Tier 1       species:</w:t>
            </w:r>
          </w:p>
          <w:p w:rsidR="00671CE9" w:rsidRDefault="00671CE9">
            <w:pPr>
              <w:rPr>
                <w:b/>
                <w:bCs/>
              </w:rPr>
            </w:pPr>
          </w:p>
        </w:tc>
        <w:tc>
          <w:tcPr>
            <w:tcW w:w="6948" w:type="dxa"/>
            <w:tcBorders>
              <w:bottom w:val="single" w:sz="4" w:space="0" w:color="auto"/>
            </w:tcBorders>
          </w:tcPr>
          <w:p w:rsidR="00042599" w:rsidRDefault="008767D3" w:rsidP="00042599">
            <w:pPr>
              <w:rPr>
                <w:color w:val="000000"/>
              </w:rPr>
            </w:pPr>
            <w:r>
              <w:rPr>
                <w:color w:val="000000"/>
              </w:rPr>
              <w:t>b</w:t>
            </w:r>
            <w:r w:rsidR="00042599">
              <w:rPr>
                <w:color w:val="000000"/>
              </w:rPr>
              <w:t xml:space="preserve">luehead </w:t>
            </w:r>
            <w:r>
              <w:rPr>
                <w:color w:val="000000"/>
              </w:rPr>
              <w:t>s</w:t>
            </w:r>
            <w:r w:rsidR="00042599">
              <w:rPr>
                <w:color w:val="000000"/>
              </w:rPr>
              <w:t xml:space="preserve">ucker, </w:t>
            </w:r>
            <w:r>
              <w:rPr>
                <w:color w:val="000000"/>
              </w:rPr>
              <w:t>f</w:t>
            </w:r>
            <w:r w:rsidR="00042599">
              <w:rPr>
                <w:color w:val="000000"/>
              </w:rPr>
              <w:t xml:space="preserve">lannelmouth </w:t>
            </w:r>
            <w:r>
              <w:rPr>
                <w:color w:val="000000"/>
              </w:rPr>
              <w:t>s</w:t>
            </w:r>
            <w:r w:rsidR="00042599">
              <w:rPr>
                <w:color w:val="000000"/>
              </w:rPr>
              <w:t xml:space="preserve">ucker, Great Basin </w:t>
            </w:r>
            <w:proofErr w:type="spellStart"/>
            <w:r>
              <w:rPr>
                <w:color w:val="000000"/>
              </w:rPr>
              <w:t>s</w:t>
            </w:r>
            <w:r w:rsidR="00042599">
              <w:rPr>
                <w:color w:val="000000"/>
              </w:rPr>
              <w:t>padefoot</w:t>
            </w:r>
            <w:proofErr w:type="spellEnd"/>
            <w:r w:rsidR="00042599">
              <w:rPr>
                <w:color w:val="000000"/>
              </w:rPr>
              <w:t xml:space="preserve">, </w:t>
            </w:r>
            <w:r>
              <w:rPr>
                <w:color w:val="000000"/>
              </w:rPr>
              <w:t>m</w:t>
            </w:r>
            <w:r w:rsidR="00042599">
              <w:rPr>
                <w:color w:val="000000"/>
              </w:rPr>
              <w:t xml:space="preserve">idget </w:t>
            </w:r>
            <w:r>
              <w:rPr>
                <w:color w:val="000000"/>
              </w:rPr>
              <w:t>f</w:t>
            </w:r>
            <w:r w:rsidR="00042599">
              <w:rPr>
                <w:color w:val="000000"/>
              </w:rPr>
              <w:t xml:space="preserve">aded </w:t>
            </w:r>
            <w:r>
              <w:rPr>
                <w:color w:val="000000"/>
              </w:rPr>
              <w:t>r</w:t>
            </w:r>
            <w:r w:rsidR="00042599">
              <w:rPr>
                <w:color w:val="000000"/>
              </w:rPr>
              <w:t>attlesnake</w:t>
            </w:r>
          </w:p>
          <w:p w:rsidR="00671CE9" w:rsidRDefault="00671CE9" w:rsidP="00216882">
            <w:pPr>
              <w:pStyle w:val="Header"/>
              <w:tabs>
                <w:tab w:val="clear" w:pos="4320"/>
                <w:tab w:val="clear" w:pos="8640"/>
              </w:tabs>
              <w:spacing w:after="120"/>
            </w:pPr>
          </w:p>
        </w:tc>
      </w:tr>
      <w:tr w:rsidR="00671CE9">
        <w:tc>
          <w:tcPr>
            <w:tcW w:w="2628" w:type="dxa"/>
          </w:tcPr>
          <w:p w:rsidR="00671CE9" w:rsidRDefault="00671CE9">
            <w:pPr>
              <w:rPr>
                <w:b/>
                <w:bCs/>
              </w:rPr>
            </w:pPr>
            <w:r>
              <w:rPr>
                <w:b/>
                <w:bCs/>
              </w:rPr>
              <w:t>Solutions or actions:</w:t>
            </w:r>
          </w:p>
        </w:tc>
        <w:tc>
          <w:tcPr>
            <w:tcW w:w="6948" w:type="dxa"/>
            <w:tcBorders>
              <w:top w:val="single" w:sz="4" w:space="0" w:color="auto"/>
              <w:bottom w:val="single" w:sz="4" w:space="0" w:color="auto"/>
            </w:tcBorders>
          </w:tcPr>
          <w:p w:rsidR="00671CE9" w:rsidRDefault="00140C86" w:rsidP="00140C86">
            <w:pPr>
              <w:pStyle w:val="BodyTextIndent2"/>
              <w:numPr>
                <w:ilvl w:val="0"/>
                <w:numId w:val="6"/>
              </w:numPr>
              <w:tabs>
                <w:tab w:val="clear" w:pos="720"/>
                <w:tab w:val="num" w:pos="342"/>
              </w:tabs>
              <w:ind w:left="342"/>
              <w:rPr>
                <w:i w:val="0"/>
                <w:iCs w:val="0"/>
              </w:rPr>
            </w:pPr>
            <w:r>
              <w:rPr>
                <w:i w:val="0"/>
                <w:iCs w:val="0"/>
              </w:rPr>
              <w:t>Promote</w:t>
            </w:r>
            <w:r w:rsidR="00671CE9">
              <w:rPr>
                <w:i w:val="0"/>
                <w:iCs w:val="0"/>
              </w:rPr>
              <w:t xml:space="preserve"> sound livestock grazing practices </w:t>
            </w:r>
            <w:r>
              <w:rPr>
                <w:i w:val="0"/>
                <w:iCs w:val="0"/>
              </w:rPr>
              <w:t xml:space="preserve">to </w:t>
            </w:r>
            <w:r w:rsidR="00671CE9">
              <w:rPr>
                <w:i w:val="0"/>
                <w:iCs w:val="0"/>
              </w:rPr>
              <w:t>improve riparian habitat.</w:t>
            </w:r>
          </w:p>
          <w:p w:rsidR="00671CE9" w:rsidRDefault="00671CE9" w:rsidP="00140C86">
            <w:pPr>
              <w:pStyle w:val="BodyTextIndent2"/>
              <w:numPr>
                <w:ilvl w:val="0"/>
                <w:numId w:val="5"/>
              </w:numPr>
              <w:tabs>
                <w:tab w:val="clear" w:pos="720"/>
                <w:tab w:val="num" w:pos="342"/>
              </w:tabs>
              <w:ind w:left="342"/>
              <w:rPr>
                <w:i w:val="0"/>
                <w:iCs w:val="0"/>
              </w:rPr>
            </w:pPr>
            <w:r>
              <w:rPr>
                <w:i w:val="0"/>
                <w:iCs w:val="0"/>
              </w:rPr>
              <w:t xml:space="preserve">Advocate habitat protection and minimize habitat impacts </w:t>
            </w:r>
            <w:r w:rsidR="00140C86">
              <w:rPr>
                <w:i w:val="0"/>
                <w:iCs w:val="0"/>
              </w:rPr>
              <w:t xml:space="preserve">from </w:t>
            </w:r>
            <w:r>
              <w:rPr>
                <w:i w:val="0"/>
                <w:iCs w:val="0"/>
              </w:rPr>
              <w:t>energy development activities.</w:t>
            </w:r>
          </w:p>
          <w:p w:rsidR="00671CE9" w:rsidRDefault="00671CE9" w:rsidP="00140C86">
            <w:pPr>
              <w:pStyle w:val="BodyTextIndent2"/>
              <w:numPr>
                <w:ilvl w:val="0"/>
                <w:numId w:val="5"/>
              </w:numPr>
              <w:tabs>
                <w:tab w:val="clear" w:pos="720"/>
                <w:tab w:val="num" w:pos="342"/>
              </w:tabs>
              <w:ind w:left="342"/>
            </w:pPr>
            <w:r>
              <w:rPr>
                <w:i w:val="0"/>
                <w:iCs w:val="0"/>
              </w:rPr>
              <w:t>Work with the BLM, Big Sandy Working Group, Trout Unlimited, Bureau of Reclamation, and others to conduct maintenance to existing sill structures on the lower Big Sandy River.</w:t>
            </w:r>
          </w:p>
          <w:p w:rsidR="00671CE9" w:rsidRDefault="00671CE9" w:rsidP="00140C86">
            <w:pPr>
              <w:pStyle w:val="Header"/>
              <w:numPr>
                <w:ilvl w:val="0"/>
                <w:numId w:val="5"/>
              </w:numPr>
              <w:tabs>
                <w:tab w:val="clear" w:pos="720"/>
                <w:tab w:val="clear" w:pos="4320"/>
                <w:tab w:val="clear" w:pos="8640"/>
                <w:tab w:val="num" w:pos="342"/>
              </w:tabs>
              <w:spacing w:after="120"/>
              <w:ind w:left="342"/>
            </w:pPr>
            <w:r>
              <w:t>Work with GZ Livestock Company to identify and develop new sill structure sites on state lands located upstream of the Bone Draw confluence.</w:t>
            </w:r>
          </w:p>
        </w:tc>
      </w:tr>
      <w:tr w:rsidR="00671CE9">
        <w:tc>
          <w:tcPr>
            <w:tcW w:w="2628" w:type="dxa"/>
          </w:tcPr>
          <w:p w:rsidR="00671CE9" w:rsidRDefault="00671CE9">
            <w:pPr>
              <w:rPr>
                <w:b/>
                <w:bCs/>
              </w:rPr>
            </w:pPr>
            <w:r>
              <w:rPr>
                <w:b/>
                <w:bCs/>
              </w:rPr>
              <w:lastRenderedPageBreak/>
              <w:t>Additional Information:</w:t>
            </w:r>
          </w:p>
        </w:tc>
        <w:tc>
          <w:tcPr>
            <w:tcW w:w="6948" w:type="dxa"/>
            <w:tcBorders>
              <w:top w:val="single" w:sz="4" w:space="0" w:color="auto"/>
              <w:bottom w:val="single" w:sz="2" w:space="0" w:color="auto"/>
            </w:tcBorders>
          </w:tcPr>
          <w:p w:rsidR="00671CE9" w:rsidRDefault="00671CE9">
            <w:pPr>
              <w:pStyle w:val="Header"/>
              <w:tabs>
                <w:tab w:val="clear" w:pos="4320"/>
                <w:tab w:val="clear" w:pos="8640"/>
              </w:tabs>
              <w:spacing w:after="120"/>
            </w:pPr>
          </w:p>
        </w:tc>
      </w:tr>
      <w:tr w:rsidR="00671CE9">
        <w:tc>
          <w:tcPr>
            <w:tcW w:w="2628" w:type="dxa"/>
          </w:tcPr>
          <w:p w:rsidR="00671CE9" w:rsidRDefault="00671CE9">
            <w:pPr>
              <w:rPr>
                <w:b/>
                <w:bCs/>
              </w:rPr>
            </w:pPr>
            <w:r>
              <w:rPr>
                <w:b/>
                <w:bCs/>
              </w:rPr>
              <w:t>Land ownership and surface area:</w:t>
            </w:r>
          </w:p>
        </w:tc>
        <w:tc>
          <w:tcPr>
            <w:tcW w:w="6948" w:type="dxa"/>
            <w:tcBorders>
              <w:top w:val="single" w:sz="4" w:space="0" w:color="auto"/>
              <w:bottom w:val="single" w:sz="2" w:space="0" w:color="auto"/>
            </w:tcBorders>
          </w:tcPr>
          <w:p w:rsidR="00671CE9" w:rsidRPr="00042599" w:rsidRDefault="00042599" w:rsidP="00042599">
            <w:pPr>
              <w:rPr>
                <w:color w:val="000000"/>
              </w:rPr>
            </w:pPr>
            <w:r>
              <w:rPr>
                <w:color w:val="000000"/>
              </w:rPr>
              <w:t xml:space="preserve">BLM: 10,347 ac (55%), </w:t>
            </w:r>
            <w:r>
              <w:rPr>
                <w:color w:val="000000"/>
              </w:rPr>
              <w:br/>
              <w:t xml:space="preserve">USFS: 0 ac (0%), </w:t>
            </w:r>
            <w:r>
              <w:rPr>
                <w:color w:val="000000"/>
              </w:rPr>
              <w:br/>
              <w:t xml:space="preserve">Other Federal: 6,365 ac (34%), </w:t>
            </w:r>
            <w:r>
              <w:rPr>
                <w:color w:val="000000"/>
              </w:rPr>
              <w:br/>
              <w:t xml:space="preserve">State: 957 ac (5%), </w:t>
            </w:r>
            <w:r>
              <w:rPr>
                <w:color w:val="000000"/>
              </w:rPr>
              <w:br/>
              <w:t xml:space="preserve">Private: 1,011 ac (5%), </w:t>
            </w:r>
            <w:r>
              <w:rPr>
                <w:color w:val="000000"/>
              </w:rPr>
              <w:br/>
              <w:t>Total area: 18,680 ac</w:t>
            </w:r>
          </w:p>
        </w:tc>
      </w:tr>
    </w:tbl>
    <w:p w:rsidR="00671CE9" w:rsidRDefault="00671CE9">
      <w:pPr>
        <w:pStyle w:val="Header"/>
        <w:tabs>
          <w:tab w:val="clear" w:pos="4320"/>
          <w:tab w:val="clear" w:pos="8640"/>
        </w:tabs>
      </w:pPr>
    </w:p>
    <w:sectPr w:rsidR="00671CE9" w:rsidSect="0012287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FC" w:rsidRDefault="00215BFC">
      <w:r>
        <w:separator/>
      </w:r>
    </w:p>
  </w:endnote>
  <w:endnote w:type="continuationSeparator" w:id="0">
    <w:p w:rsidR="00215BFC" w:rsidRDefault="00215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FC" w:rsidRDefault="00215BFC">
      <w:r>
        <w:separator/>
      </w:r>
    </w:p>
  </w:footnote>
  <w:footnote w:type="continuationSeparator" w:id="0">
    <w:p w:rsidR="00215BFC" w:rsidRDefault="00215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E9" w:rsidRDefault="00671CE9">
    <w:pPr>
      <w:pStyle w:val="Header"/>
      <w:tabs>
        <w:tab w:val="clear" w:pos="8640"/>
        <w:tab w:val="right" w:pos="9360"/>
      </w:tabs>
      <w:rPr>
        <w:sz w:val="16"/>
      </w:rPr>
    </w:pPr>
    <w:r>
      <w:rPr>
        <w:b/>
        <w:bCs/>
      </w:rPr>
      <w:t>Wyoming Game and Fish Department</w:t>
    </w:r>
    <w:r>
      <w:rPr>
        <w:b/>
        <w:bCs/>
      </w:rPr>
      <w:tab/>
    </w:r>
    <w:r>
      <w:rPr>
        <w:b/>
        <w:bCs/>
      </w:rPr>
      <w:tab/>
    </w:r>
    <w:r>
      <w:rPr>
        <w:sz w:val="16"/>
      </w:rPr>
      <w:t xml:space="preserve">rev. </w:t>
    </w:r>
    <w:r w:rsidR="008767D3">
      <w:rPr>
        <w:sz w:val="16"/>
      </w:rPr>
      <w:t>10</w:t>
    </w:r>
    <w:r w:rsidR="00E33E8B">
      <w:rPr>
        <w:sz w:val="16"/>
      </w:rPr>
      <w:t>/1</w:t>
    </w:r>
    <w:r w:rsidR="008767D3">
      <w:rPr>
        <w:sz w:val="16"/>
      </w:rPr>
      <w:t>0</w:t>
    </w:r>
    <w:r w:rsidR="00E33E8B">
      <w:rPr>
        <w:sz w:val="16"/>
      </w:rPr>
      <w:t>/2014</w:t>
    </w:r>
  </w:p>
  <w:p w:rsidR="00671CE9" w:rsidRDefault="00671CE9">
    <w:pPr>
      <w:pStyle w:val="Header"/>
      <w:rPr>
        <w:b/>
        <w:bCs/>
      </w:rPr>
    </w:pPr>
    <w:r>
      <w:rPr>
        <w:b/>
        <w:bCs/>
      </w:rPr>
      <w:t xml:space="preserve">Strategic Habitat Plan </w:t>
    </w:r>
  </w:p>
  <w:p w:rsidR="00671CE9" w:rsidRDefault="00671CE9">
    <w:pPr>
      <w:pStyle w:val="Header"/>
      <w:rPr>
        <w:b/>
        <w:bCs/>
      </w:rPr>
    </w:pPr>
  </w:p>
  <w:p w:rsidR="00671CE9" w:rsidRDefault="00671CE9">
    <w:pPr>
      <w:pStyle w:val="Header"/>
      <w:jc w:val="center"/>
      <w:rPr>
        <w:b/>
        <w:bCs/>
      </w:rPr>
    </w:pPr>
    <w:r>
      <w:rPr>
        <w:b/>
        <w:bCs/>
      </w:rPr>
      <w:t>Enhancement Habitat Area Narrative</w:t>
    </w:r>
  </w:p>
  <w:p w:rsidR="00671CE9" w:rsidRDefault="00671CE9">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5323"/>
    <w:multiLevelType w:val="hybridMultilevel"/>
    <w:tmpl w:val="5942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533891"/>
    <w:multiLevelType w:val="hybridMultilevel"/>
    <w:tmpl w:val="A1F4AE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
    <w:nsid w:val="2B790ED7"/>
    <w:multiLevelType w:val="hybridMultilevel"/>
    <w:tmpl w:val="AB60F9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05A94"/>
    <w:multiLevelType w:val="hybridMultilevel"/>
    <w:tmpl w:val="4F7A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D65BA"/>
    <w:multiLevelType w:val="hybridMultilevel"/>
    <w:tmpl w:val="19F2AB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CB7518"/>
    <w:multiLevelType w:val="hybridMultilevel"/>
    <w:tmpl w:val="E3DE43E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33E8B"/>
    <w:rsid w:val="00042599"/>
    <w:rsid w:val="0010215F"/>
    <w:rsid w:val="0012287C"/>
    <w:rsid w:val="00140C86"/>
    <w:rsid w:val="00215BFC"/>
    <w:rsid w:val="00216882"/>
    <w:rsid w:val="00671CE9"/>
    <w:rsid w:val="008767D3"/>
    <w:rsid w:val="00A736C1"/>
    <w:rsid w:val="00E33E8B"/>
    <w:rsid w:val="00ED50E2"/>
    <w:rsid w:val="00F42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7C"/>
    <w:rPr>
      <w:sz w:val="24"/>
      <w:szCs w:val="24"/>
    </w:rPr>
  </w:style>
  <w:style w:type="paragraph" w:styleId="Heading1">
    <w:name w:val="heading 1"/>
    <w:basedOn w:val="Normal"/>
    <w:next w:val="Normal"/>
    <w:qFormat/>
    <w:rsid w:val="0012287C"/>
    <w:pPr>
      <w:keepNext/>
      <w:outlineLvl w:val="0"/>
    </w:pPr>
    <w:rPr>
      <w:b/>
      <w:bCs/>
    </w:rPr>
  </w:style>
  <w:style w:type="paragraph" w:styleId="Heading2">
    <w:name w:val="heading 2"/>
    <w:basedOn w:val="Normal"/>
    <w:next w:val="Normal"/>
    <w:qFormat/>
    <w:rsid w:val="0012287C"/>
    <w:pPr>
      <w:keepNext/>
      <w:outlineLvl w:val="1"/>
    </w:pPr>
    <w:rPr>
      <w:b/>
      <w:bCs/>
      <w:u w:val="single"/>
    </w:rPr>
  </w:style>
  <w:style w:type="paragraph" w:styleId="Heading3">
    <w:name w:val="heading 3"/>
    <w:basedOn w:val="Normal"/>
    <w:next w:val="Normal"/>
    <w:qFormat/>
    <w:rsid w:val="0012287C"/>
    <w:pPr>
      <w:keepNext/>
      <w:spacing w:before="12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2287C"/>
    <w:pPr>
      <w:tabs>
        <w:tab w:val="center" w:pos="4320"/>
        <w:tab w:val="right" w:pos="8640"/>
      </w:tabs>
    </w:pPr>
  </w:style>
  <w:style w:type="paragraph" w:styleId="Footer">
    <w:name w:val="footer"/>
    <w:basedOn w:val="Normal"/>
    <w:semiHidden/>
    <w:rsid w:val="0012287C"/>
    <w:pPr>
      <w:tabs>
        <w:tab w:val="center" w:pos="4320"/>
        <w:tab w:val="right" w:pos="8640"/>
      </w:tabs>
    </w:pPr>
  </w:style>
  <w:style w:type="paragraph" w:styleId="BodyTextIndent">
    <w:name w:val="Body Text Indent"/>
    <w:basedOn w:val="Normal"/>
    <w:semiHidden/>
    <w:rsid w:val="0012287C"/>
    <w:pPr>
      <w:spacing w:after="120"/>
      <w:ind w:left="1440"/>
    </w:pPr>
  </w:style>
  <w:style w:type="character" w:styleId="CommentReference">
    <w:name w:val="annotation reference"/>
    <w:semiHidden/>
    <w:rsid w:val="0012287C"/>
    <w:rPr>
      <w:sz w:val="16"/>
      <w:szCs w:val="16"/>
    </w:rPr>
  </w:style>
  <w:style w:type="paragraph" w:styleId="CommentText">
    <w:name w:val="annotation text"/>
    <w:basedOn w:val="Normal"/>
    <w:semiHidden/>
    <w:rsid w:val="0012287C"/>
    <w:rPr>
      <w:sz w:val="20"/>
      <w:szCs w:val="20"/>
    </w:rPr>
  </w:style>
  <w:style w:type="paragraph" w:styleId="List">
    <w:name w:val="List"/>
    <w:basedOn w:val="Normal"/>
    <w:semiHidden/>
    <w:rsid w:val="0012287C"/>
    <w:pPr>
      <w:overflowPunct w:val="0"/>
      <w:autoSpaceDE w:val="0"/>
      <w:autoSpaceDN w:val="0"/>
      <w:adjustRightInd w:val="0"/>
      <w:ind w:left="360" w:hanging="360"/>
      <w:textAlignment w:val="baseline"/>
    </w:pPr>
    <w:rPr>
      <w:sz w:val="20"/>
      <w:szCs w:val="20"/>
    </w:rPr>
  </w:style>
  <w:style w:type="paragraph" w:styleId="BodyTextIndent2">
    <w:name w:val="Body Text Indent 2"/>
    <w:basedOn w:val="Normal"/>
    <w:semiHidden/>
    <w:rsid w:val="0012287C"/>
    <w:pPr>
      <w:spacing w:before="120" w:after="120"/>
      <w:ind w:left="706"/>
    </w:pPr>
    <w:rPr>
      <w:i/>
      <w:iCs/>
    </w:rPr>
  </w:style>
</w:styles>
</file>

<file path=word/webSettings.xml><?xml version="1.0" encoding="utf-8"?>
<w:webSettings xmlns:r="http://schemas.openxmlformats.org/officeDocument/2006/relationships" xmlns:w="http://schemas.openxmlformats.org/wordprocessingml/2006/main">
  <w:divs>
    <w:div w:id="1561553571">
      <w:bodyDiv w:val="1"/>
      <w:marLeft w:val="0"/>
      <w:marRight w:val="0"/>
      <w:marTop w:val="0"/>
      <w:marBottom w:val="0"/>
      <w:divBdr>
        <w:top w:val="none" w:sz="0" w:space="0" w:color="auto"/>
        <w:left w:val="none" w:sz="0" w:space="0" w:color="auto"/>
        <w:bottom w:val="none" w:sz="0" w:space="0" w:color="auto"/>
        <w:right w:val="none" w:sz="0" w:space="0" w:color="auto"/>
      </w:divBdr>
    </w:div>
    <w:div w:id="20044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Region:_________________________________________</vt:lpstr>
    </vt:vector>
  </TitlesOfParts>
  <Company>Wyoming Game &amp; Fish Dept.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Region:_________________________________________</dc:title>
  <dc:creator>Bill Cowling</dc:creator>
  <cp:lastModifiedBy>pdey</cp:lastModifiedBy>
  <cp:revision>3</cp:revision>
  <cp:lastPrinted>2008-07-10T22:57:00Z</cp:lastPrinted>
  <dcterms:created xsi:type="dcterms:W3CDTF">2014-10-10T20:53:00Z</dcterms:created>
  <dcterms:modified xsi:type="dcterms:W3CDTF">2014-10-10T20:54:00Z</dcterms:modified>
</cp:coreProperties>
</file>